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 xml:space="preserve">Anexa </w:t>
      </w:r>
      <w:r>
        <w:rPr>
          <w:b/>
        </w:rPr>
        <w:t xml:space="preserve">6. </w:t>
      </w: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2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27274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27274">
              <w:rPr>
                <w:noProof w:val="0"/>
                <w:color w:val="000000"/>
                <w:sz w:val="20"/>
                <w:szCs w:val="20"/>
              </w:rPr>
              <w:t>3 - cheltuieli cu achiziția imobilelor deja construite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27274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27274">
              <w:rPr>
                <w:noProof w:val="0"/>
                <w:color w:val="000000"/>
                <w:sz w:val="20"/>
                <w:szCs w:val="20"/>
              </w:rPr>
              <w:t>6 - cheltuieli cu achiziția imobilelor deja construite</w:t>
            </w:r>
          </w:p>
        </w:tc>
      </w:tr>
      <w:tr w:rsidR="0085246D" w:rsidRPr="0085246D" w:rsidTr="0085246D">
        <w:trPr>
          <w:trHeight w:val="40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5 - cheltuieli cu închirierea, altele decât cele prevazute la cheltuielile generale de administrație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9 - cheltuieli cu închirierea, altele decât cele prevazute la cheltuielile generale de administrație</w:t>
            </w:r>
          </w:p>
        </w:tc>
      </w:tr>
      <w:tr w:rsidR="0085246D" w:rsidRPr="0085246D" w:rsidTr="0085246D">
        <w:trPr>
          <w:trHeight w:val="216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85246D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85246D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85246D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:rsidTr="0085246D">
        <w:trPr>
          <w:trHeight w:val="3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28 - cheltuieli cu achiziția de mijloace de transport pentru managementul operațiunii</w:t>
            </w:r>
          </w:p>
        </w:tc>
      </w:tr>
      <w:tr w:rsidR="0085246D" w:rsidRPr="002425CD" w:rsidTr="0085246D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5246D" w:rsidRPr="0085246D" w:rsidTr="002425CD">
        <w:trPr>
          <w:trHeight w:val="33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10 - cheltuieli generale de administrație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30 - cheltuieli generale de administratie</w:t>
            </w:r>
          </w:p>
        </w:tc>
      </w:tr>
      <w:tr w:rsidR="0085246D" w:rsidRPr="0085246D" w:rsidTr="0085246D">
        <w:trPr>
          <w:trHeight w:val="409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85246D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85246D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2425CD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85246D" w:rsidRPr="002425CD" w:rsidTr="0085246D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AF797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AF797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85246D" w:rsidRPr="0085246D" w:rsidTr="0085246D">
        <w:trPr>
          <w:trHeight w:val="27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85246D" w:rsidRPr="0085246D" w:rsidTr="0085246D">
        <w:trPr>
          <w:trHeight w:val="24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  <w:tr w:rsidR="002425CD" w:rsidRPr="0085246D" w:rsidTr="00C70EF2">
        <w:trPr>
          <w:trHeight w:val="46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25 - cheltuieli salariale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83 - cheltuieli salariale cu personalul implicat in implementarea proiectului (în derularea activităților, altele decât management de proiect)</w:t>
            </w:r>
          </w:p>
        </w:tc>
      </w:tr>
      <w:tr w:rsidR="0042080C" w:rsidRPr="0085246D" w:rsidTr="00C70EF2">
        <w:trPr>
          <w:trHeight w:val="467"/>
          <w:jc w:val="center"/>
        </w:trPr>
        <w:tc>
          <w:tcPr>
            <w:tcW w:w="4742" w:type="dxa"/>
            <w:shd w:val="clear" w:color="auto" w:fill="auto"/>
            <w:noWrap/>
            <w:vAlign w:val="center"/>
          </w:tcPr>
          <w:p w:rsidR="0042080C" w:rsidRPr="00C70EF2" w:rsidRDefault="0042080C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42080C">
              <w:rPr>
                <w:noProof w:val="0"/>
                <w:color w:val="000000"/>
                <w:sz w:val="20"/>
                <w:szCs w:val="20"/>
              </w:rPr>
              <w:t>27 - cheltuieli cu deplasarea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42080C" w:rsidRPr="00C70EF2" w:rsidRDefault="0042080C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42080C">
              <w:rPr>
                <w:noProof w:val="0"/>
                <w:color w:val="000000"/>
                <w:sz w:val="20"/>
                <w:szCs w:val="20"/>
              </w:rPr>
              <w:t>96 - cheltuieli cu deplasarea</w:t>
            </w:r>
          </w:p>
        </w:tc>
      </w:tr>
      <w:tr w:rsidR="00F111D0" w:rsidRPr="0085246D" w:rsidTr="00C70EF2">
        <w:trPr>
          <w:trHeight w:val="467"/>
          <w:jc w:val="center"/>
        </w:trPr>
        <w:tc>
          <w:tcPr>
            <w:tcW w:w="4742" w:type="dxa"/>
            <w:shd w:val="clear" w:color="auto" w:fill="auto"/>
            <w:noWrap/>
            <w:vAlign w:val="center"/>
          </w:tcPr>
          <w:p w:rsidR="00F111D0" w:rsidRPr="0042080C" w:rsidRDefault="00F111D0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11D0">
              <w:rPr>
                <w:noProof w:val="0"/>
                <w:color w:val="000000"/>
                <w:sz w:val="20"/>
                <w:szCs w:val="20"/>
              </w:rPr>
              <w:t>29 - cheltuieli cu servicii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F111D0" w:rsidRPr="0042080C" w:rsidRDefault="00F111D0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11D0">
              <w:rPr>
                <w:noProof w:val="0"/>
                <w:color w:val="000000"/>
                <w:sz w:val="20"/>
                <w:szCs w:val="20"/>
              </w:rPr>
              <w:t>116 - cheltuieli pentru instruire specifică pentru operarea/administrarea de aplicații software</w:t>
            </w:r>
          </w:p>
        </w:tc>
      </w:tr>
      <w:tr w:rsidR="0085246D" w:rsidRPr="0085246D" w:rsidTr="0085246D">
        <w:trPr>
          <w:trHeight w:val="603"/>
          <w:jc w:val="center"/>
        </w:trPr>
        <w:tc>
          <w:tcPr>
            <w:tcW w:w="4742" w:type="dxa"/>
            <w:shd w:val="clear" w:color="auto" w:fill="auto"/>
            <w:vAlign w:val="center"/>
            <w:hideMark/>
          </w:tcPr>
          <w:p w:rsidR="0085246D" w:rsidRPr="00C70EF2" w:rsidRDefault="0085246D" w:rsidP="0085246D">
            <w:pPr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37 - cheltuieli specifice pentru promovarea biodiversității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148 - cheltuieli specifice pentru promovarea biodiversității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  <w:bookmarkStart w:id="0" w:name="_GoBack"/>
      <w:bookmarkEnd w:id="0"/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C9B" w:rsidRDefault="00412C9B" w:rsidP="0056790C">
      <w:r>
        <w:separator/>
      </w:r>
    </w:p>
  </w:endnote>
  <w:endnote w:type="continuationSeparator" w:id="0">
    <w:p w:rsidR="00412C9B" w:rsidRDefault="00412C9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274" w:rsidRDefault="00C27274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F111D0">
      <w:t>2</w:t>
    </w:r>
    <w:r>
      <w:fldChar w:fldCharType="end"/>
    </w:r>
  </w:p>
  <w:p w:rsidR="00C27274" w:rsidRDefault="00C272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C9B" w:rsidRDefault="00412C9B" w:rsidP="0056790C">
      <w:r>
        <w:separator/>
      </w:r>
    </w:p>
  </w:footnote>
  <w:footnote w:type="continuationSeparator" w:id="0">
    <w:p w:rsidR="00412C9B" w:rsidRDefault="00412C9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                    Ghidul Solicitantului_OS 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2C9B"/>
    <w:rsid w:val="00415099"/>
    <w:rsid w:val="0042080C"/>
    <w:rsid w:val="00424999"/>
    <w:rsid w:val="00436838"/>
    <w:rsid w:val="004375E9"/>
    <w:rsid w:val="0046133B"/>
    <w:rsid w:val="004650BE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93585"/>
    <w:rsid w:val="006C5B66"/>
    <w:rsid w:val="006C65B1"/>
    <w:rsid w:val="006D3B48"/>
    <w:rsid w:val="006E53AE"/>
    <w:rsid w:val="006F2C42"/>
    <w:rsid w:val="007138AA"/>
    <w:rsid w:val="0072540B"/>
    <w:rsid w:val="00725571"/>
    <w:rsid w:val="007409DB"/>
    <w:rsid w:val="00746A9C"/>
    <w:rsid w:val="007558D4"/>
    <w:rsid w:val="00766BF9"/>
    <w:rsid w:val="00780D0D"/>
    <w:rsid w:val="0078507D"/>
    <w:rsid w:val="007B2E26"/>
    <w:rsid w:val="007E37AA"/>
    <w:rsid w:val="0080439A"/>
    <w:rsid w:val="00805B25"/>
    <w:rsid w:val="00814235"/>
    <w:rsid w:val="00814A14"/>
    <w:rsid w:val="00815BF7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D5556"/>
    <w:rsid w:val="008E58C7"/>
    <w:rsid w:val="008F2A6D"/>
    <w:rsid w:val="008F3BAF"/>
    <w:rsid w:val="008F680A"/>
    <w:rsid w:val="009212D5"/>
    <w:rsid w:val="00933706"/>
    <w:rsid w:val="009375BD"/>
    <w:rsid w:val="00940966"/>
    <w:rsid w:val="00940AFA"/>
    <w:rsid w:val="00952FF6"/>
    <w:rsid w:val="00961FC8"/>
    <w:rsid w:val="0097349E"/>
    <w:rsid w:val="00984701"/>
    <w:rsid w:val="009976EE"/>
    <w:rsid w:val="009C0579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B3441"/>
    <w:rsid w:val="00AC4386"/>
    <w:rsid w:val="00AE6767"/>
    <w:rsid w:val="00AF0408"/>
    <w:rsid w:val="00AF1CF4"/>
    <w:rsid w:val="00AF7975"/>
    <w:rsid w:val="00AF7B7B"/>
    <w:rsid w:val="00B11BB5"/>
    <w:rsid w:val="00B17E22"/>
    <w:rsid w:val="00B46D8E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274"/>
    <w:rsid w:val="00C27C9D"/>
    <w:rsid w:val="00C32438"/>
    <w:rsid w:val="00C37BA9"/>
    <w:rsid w:val="00C46232"/>
    <w:rsid w:val="00C64CDF"/>
    <w:rsid w:val="00C70EF2"/>
    <w:rsid w:val="00C87690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45003"/>
    <w:rsid w:val="00E720EF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11D0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0A2265E-7C0D-4E08-95BA-F81A6EF0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8EED5-3F8B-4C06-8391-0B228A69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ioana cazan</cp:lastModifiedBy>
  <cp:revision>2</cp:revision>
  <cp:lastPrinted>2016-03-16T13:50:00Z</cp:lastPrinted>
  <dcterms:created xsi:type="dcterms:W3CDTF">2017-07-06T09:23:00Z</dcterms:created>
  <dcterms:modified xsi:type="dcterms:W3CDTF">2017-07-06T09:23:00Z</dcterms:modified>
</cp:coreProperties>
</file>